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D7AAC" w14:textId="6C34C574" w:rsidR="00E81265" w:rsidRDefault="0042747D" w:rsidP="0042747D">
      <w:pPr>
        <w:pStyle w:val="Titre"/>
        <w:rPr>
          <w:lang w:val="en-GB"/>
        </w:rPr>
      </w:pPr>
      <w:r w:rsidRPr="0042747D">
        <w:rPr>
          <w:lang w:val="en-GB"/>
        </w:rPr>
        <w:t>INSTRUCTIONS FOR PREPARING AN EXTENDED ABSTRACT FOR</w:t>
      </w:r>
      <w:r>
        <w:rPr>
          <w:lang w:val="en-GB"/>
        </w:rPr>
        <w:t xml:space="preserve"> </w:t>
      </w:r>
      <w:r>
        <w:rPr>
          <w:lang w:val="en-GB"/>
        </w:rPr>
        <w:br/>
      </w:r>
      <w:r w:rsidRPr="0042747D">
        <w:rPr>
          <w:lang w:val="en-GB"/>
        </w:rPr>
        <w:t>THE 29th INTERNATIONAL WORKSHOP ON ELECTROMAGNETIC NONDESTRUCTIVE EVALUATION</w:t>
      </w:r>
      <w:r>
        <w:rPr>
          <w:lang w:val="en-GB"/>
        </w:rPr>
        <w:t xml:space="preserve"> </w:t>
      </w:r>
      <w:r w:rsidRPr="0042747D">
        <w:rPr>
          <w:lang w:val="en-GB"/>
        </w:rPr>
        <w:t>(ENDE26)</w:t>
      </w:r>
      <w:r>
        <w:rPr>
          <w:lang w:val="en-GB"/>
        </w:rPr>
        <w:t xml:space="preserve"> </w:t>
      </w:r>
      <w:r>
        <w:rPr>
          <w:lang w:val="en-GB"/>
        </w:rPr>
        <w:br/>
      </w:r>
      <w:r w:rsidRPr="0042747D">
        <w:rPr>
          <w:lang w:val="en-GB"/>
        </w:rPr>
        <w:t>PARIS-SACLAY, FRANCE, JUNE 3-5, 2026</w:t>
      </w:r>
    </w:p>
    <w:p w14:paraId="3F87DBBE" w14:textId="37E2D3B1" w:rsidR="0042747D" w:rsidRDefault="0042747D" w:rsidP="0042747D">
      <w:pPr>
        <w:pStyle w:val="ENDE26Authors"/>
        <w:rPr>
          <w:vertAlign w:val="superscript"/>
        </w:rPr>
      </w:pPr>
      <w:r w:rsidRPr="0042747D">
        <w:t>First AUTHOR</w:t>
      </w:r>
      <w:r w:rsidRPr="0042747D">
        <w:rPr>
          <w:vertAlign w:val="superscript"/>
        </w:rPr>
        <w:t>1</w:t>
      </w:r>
      <w:r w:rsidR="00720D52">
        <w:rPr>
          <w:rStyle w:val="Appelnotedebasdep"/>
        </w:rPr>
        <w:footnoteReference w:id="1"/>
      </w:r>
      <w:r w:rsidRPr="0042747D">
        <w:t>, Second CO-AUTHOR</w:t>
      </w:r>
      <w:r w:rsidRPr="0042747D">
        <w:rPr>
          <w:vertAlign w:val="superscript"/>
        </w:rPr>
        <w:t>1,2</w:t>
      </w:r>
      <w:r w:rsidRPr="0042747D">
        <w:t xml:space="preserve"> and Third CO-AUTHOR</w:t>
      </w:r>
      <w:r w:rsidRPr="0042747D">
        <w:rPr>
          <w:vertAlign w:val="superscript"/>
        </w:rPr>
        <w:t>2</w:t>
      </w:r>
    </w:p>
    <w:p w14:paraId="7D4117CD" w14:textId="5C1A2953" w:rsidR="0042747D" w:rsidRDefault="0042747D" w:rsidP="0042747D">
      <w:pPr>
        <w:pStyle w:val="ENDE26Affiliation"/>
      </w:pPr>
      <w:r w:rsidRPr="0042747D">
        <w:rPr>
          <w:vertAlign w:val="superscript"/>
        </w:rPr>
        <w:t>1</w:t>
      </w:r>
      <w:r w:rsidRPr="0042747D">
        <w:t>Affiliation</w:t>
      </w:r>
      <w:r>
        <w:t xml:space="preserve"> 1</w:t>
      </w:r>
    </w:p>
    <w:p w14:paraId="1CC57E4F" w14:textId="21748125" w:rsidR="0042747D" w:rsidRDefault="0042747D" w:rsidP="0042747D">
      <w:pPr>
        <w:pStyle w:val="ENDE26Affiliation"/>
      </w:pPr>
      <w:r w:rsidRPr="0042747D">
        <w:rPr>
          <w:vertAlign w:val="superscript"/>
        </w:rPr>
        <w:t>2</w:t>
      </w:r>
      <w:r>
        <w:t>Affiliation 2</w:t>
      </w:r>
    </w:p>
    <w:p w14:paraId="0D8B2FA0" w14:textId="3927E59E" w:rsidR="0042747D" w:rsidRDefault="0042747D" w:rsidP="0042747D">
      <w:pPr>
        <w:pStyle w:val="ENDE26ParagraphTitle"/>
      </w:pPr>
      <w:r>
        <w:t>Abstract</w:t>
      </w:r>
    </w:p>
    <w:p w14:paraId="7FC6C925" w14:textId="6886BE75" w:rsidR="0042747D" w:rsidRPr="0042747D" w:rsidRDefault="0042747D" w:rsidP="0042747D">
      <w:pPr>
        <w:rPr>
          <w:lang w:val="en-GB"/>
        </w:rPr>
      </w:pPr>
      <w:r w:rsidRPr="0042747D">
        <w:rPr>
          <w:lang w:val="en-GB"/>
        </w:rPr>
        <w:t>This template contains specific instructions on how to prepare abstracts for the 29th International Workshop on Electromagnetic Nondestructive Evaluation that will be held in Paris-Saclay, France, on Ju</w:t>
      </w:r>
      <w:r w:rsidR="00D53AFA">
        <w:rPr>
          <w:lang w:val="en-GB"/>
        </w:rPr>
        <w:t>ne</w:t>
      </w:r>
      <w:r w:rsidRPr="0042747D">
        <w:rPr>
          <w:lang w:val="en-GB"/>
        </w:rPr>
        <w:t xml:space="preserve"> </w:t>
      </w:r>
      <w:r w:rsidR="00D53AFA">
        <w:rPr>
          <w:lang w:val="en-GB"/>
        </w:rPr>
        <w:t>3</w:t>
      </w:r>
      <w:r w:rsidRPr="0042747D">
        <w:rPr>
          <w:lang w:val="en-GB"/>
        </w:rPr>
        <w:t>-</w:t>
      </w:r>
      <w:r w:rsidR="00D53AFA">
        <w:rPr>
          <w:lang w:val="en-GB"/>
        </w:rPr>
        <w:t>5</w:t>
      </w:r>
      <w:r w:rsidRPr="0042747D">
        <w:rPr>
          <w:lang w:val="en-GB"/>
        </w:rPr>
        <w:t>, 202</w:t>
      </w:r>
      <w:r w:rsidR="00D53AFA">
        <w:rPr>
          <w:lang w:val="en-GB"/>
        </w:rPr>
        <w:t>6</w:t>
      </w:r>
      <w:r w:rsidRPr="0042747D">
        <w:rPr>
          <w:lang w:val="en-GB"/>
        </w:rPr>
        <w:t>. The abstract needs to be prepared in A4 paper size with the margins set at 2.5 cm. The maximum number of content pages is limited to two. The authors are strongly suggested to use this template.</w:t>
      </w:r>
    </w:p>
    <w:p w14:paraId="3EA953EE" w14:textId="77777777" w:rsidR="0042747D" w:rsidRPr="0042747D" w:rsidRDefault="0042747D" w:rsidP="0042747D">
      <w:pPr>
        <w:rPr>
          <w:lang w:val="en-GB"/>
        </w:rPr>
      </w:pPr>
      <w:r w:rsidRPr="0042747D">
        <w:rPr>
          <w:lang w:val="en-GB"/>
        </w:rPr>
        <w:t xml:space="preserve">The title of the abstract should be typed using 14 pt “Times New Roman” UPPERCASE bold font. The names of the authors, their affiliation and the main text of the document should be typed using 11, 10, and 11 pt “Times New Roman” font, respectively. There should be a blank line between the blocks. </w:t>
      </w:r>
    </w:p>
    <w:p w14:paraId="4AA09DDD" w14:textId="2B019B4E" w:rsidR="0042747D" w:rsidRDefault="0042747D" w:rsidP="0042747D">
      <w:pPr>
        <w:rPr>
          <w:lang w:val="en-GB"/>
        </w:rPr>
      </w:pPr>
      <w:r w:rsidRPr="0042747D">
        <w:rPr>
          <w:lang w:val="en-GB"/>
        </w:rPr>
        <w:t xml:space="preserve">In order to submit your abstract, please follow the instructions on the conference website:  </w:t>
      </w:r>
      <w:hyperlink r:id="rId8" w:history="1">
        <w:r w:rsidRPr="0042747D">
          <w:rPr>
            <w:rStyle w:val="Lienhypertexte"/>
            <w:lang w:val="en-GB"/>
          </w:rPr>
          <w:t>ende2026.sciencesconf.org</w:t>
        </w:r>
      </w:hyperlink>
      <w:r w:rsidRPr="0042747D">
        <w:rPr>
          <w:lang w:val="en-GB"/>
        </w:rPr>
        <w:t>. The deadline for submission of the abstract is December 15, 2025. Accepted abstracts will be notified to the corresponding author of the abstract by email by February 10, 2026. For any questions about abstract preparation or anything related to the conference, please do not hesitate to email to the Conference Secretariat.</w:t>
      </w:r>
    </w:p>
    <w:p w14:paraId="77AFC8D6" w14:textId="4104105A" w:rsidR="00F935FB" w:rsidRDefault="00F935FB" w:rsidP="00F935FB">
      <w:pPr>
        <w:pStyle w:val="ENDE26Keywords"/>
      </w:pPr>
      <w:r>
        <w:t xml:space="preserve">Keywords: </w:t>
      </w:r>
      <w:r w:rsidRPr="00F935FB">
        <w:t>ENDE, extended abstract preparation, submission instructions</w:t>
      </w:r>
    </w:p>
    <w:p w14:paraId="53F432AC" w14:textId="7549D54B" w:rsidR="00F935FB" w:rsidRDefault="00F935FB" w:rsidP="00F935FB">
      <w:pPr>
        <w:pStyle w:val="ENDE26ParagraphTitle"/>
      </w:pPr>
      <w:r>
        <w:t>Main body</w:t>
      </w:r>
    </w:p>
    <w:p w14:paraId="2C88995B" w14:textId="2C8D7CF9" w:rsidR="00F935FB" w:rsidRDefault="00F935FB" w:rsidP="00F935FB">
      <w:pPr>
        <w:rPr>
          <w:lang w:val="en-GB"/>
        </w:rPr>
      </w:pPr>
      <w:r w:rsidRPr="00F935FB">
        <w:rPr>
          <w:lang w:val="en-GB"/>
        </w:rPr>
        <w:t xml:space="preserve">Text blocks should be left justified; figures, captions and equations should be center justified. Authors can include equations, figures and/or tables if they are referred to within the text, </w:t>
      </w:r>
      <w:r w:rsidRPr="00F935FB">
        <w:rPr>
          <w:i/>
          <w:iCs/>
          <w:lang w:val="en-GB"/>
        </w:rPr>
        <w:t>e.g</w:t>
      </w:r>
      <w:r w:rsidRPr="00F935FB">
        <w:rPr>
          <w:lang w:val="en-GB"/>
        </w:rPr>
        <w:t>. Figure 1. Figure and table captions should be typed using 10 pt “Times New Roman” font. Table contents should share the same size with their caption.</w:t>
      </w:r>
    </w:p>
    <w:p w14:paraId="62D1B51D" w14:textId="1ADD6863" w:rsidR="00896315" w:rsidRDefault="00720D52" w:rsidP="00896315">
      <w:pPr>
        <w:pStyle w:val="ENDE26Equation"/>
      </w:pPr>
      <m:oMath>
        <m:r>
          <m:rPr>
            <m:sty m:val="p"/>
          </m:rPr>
          <w:rPr>
            <w:rFonts w:ascii="Cambria Math" w:eastAsiaTheme="minorEastAsia" w:hAnsi="Cambria Math"/>
          </w:rPr>
          <m:t>∇</m:t>
        </m:r>
        <m:r>
          <w:rPr>
            <w:rFonts w:ascii="Cambria Math" w:eastAsiaTheme="minorEastAsia" w:hAnsi="Cambria Math"/>
          </w:rPr>
          <m:t>×</m:t>
        </m:r>
        <m:r>
          <m:rPr>
            <m:sty m:val="b"/>
          </m:rPr>
          <w:rPr>
            <w:rFonts w:ascii="Cambria Math" w:eastAsiaTheme="minorEastAsia" w:hAnsi="Cambria Math"/>
          </w:rPr>
          <m:t>E=-</m:t>
        </m:r>
        <m:f>
          <m:fPr>
            <m:ctrlPr>
              <w:rPr>
                <w:rFonts w:ascii="Cambria Math" w:eastAsiaTheme="minorEastAsia" w:hAnsi="Cambria Math"/>
                <w:b/>
                <w:bCs/>
                <w:iCs/>
              </w:rPr>
            </m:ctrlPr>
          </m:fPr>
          <m:num>
            <m:r>
              <m:rPr>
                <m:sty m:val="bi"/>
              </m:rPr>
              <w:rPr>
                <w:rFonts w:ascii="Cambria Math" w:eastAsiaTheme="minorEastAsia" w:hAnsi="Cambria Math"/>
              </w:rPr>
              <m:t>d</m:t>
            </m:r>
            <m:r>
              <m:rPr>
                <m:sty m:val="p"/>
              </m:rPr>
              <w:rPr>
                <w:rFonts w:ascii="Cambria Math" w:eastAsiaTheme="minorEastAsia" w:hAnsi="Cambria Math"/>
              </w:rPr>
              <m:t>B</m:t>
            </m:r>
          </m:num>
          <m:den>
            <m:r>
              <m:rPr>
                <m:sty m:val="bi"/>
              </m:rPr>
              <w:rPr>
                <w:rFonts w:ascii="Cambria Math" w:eastAsiaTheme="minorEastAsia" w:hAnsi="Cambria Math"/>
              </w:rPr>
              <m:t>dt</m:t>
            </m:r>
          </m:den>
        </m:f>
      </m:oMath>
      <w:r>
        <w:rPr>
          <w:rFonts w:eastAsiaTheme="minorEastAsia"/>
        </w:rPr>
        <w:t xml:space="preserve"> </w:t>
      </w:r>
      <w:r w:rsidR="00CA0F93">
        <w:rPr>
          <w:rFonts w:eastAsiaTheme="minorEastAsia"/>
        </w:rPr>
        <w:tab/>
      </w:r>
      <w:r w:rsidR="00CA0F93">
        <w:rPr>
          <w:rFonts w:eastAsiaTheme="minorEastAsia"/>
        </w:rPr>
        <w:tab/>
      </w:r>
      <w:r w:rsidR="00CA0F93">
        <w:rPr>
          <w:rFonts w:eastAsiaTheme="minorEastAsia"/>
        </w:rPr>
        <w:tab/>
      </w:r>
      <w:r w:rsidR="00CA0F93">
        <w:rPr>
          <w:rFonts w:eastAsiaTheme="minorEastAsia"/>
        </w:rPr>
        <w:tab/>
      </w:r>
      <w:r w:rsidR="00CA0F93">
        <w:rPr>
          <w:rFonts w:eastAsiaTheme="minorEastAsia"/>
        </w:rPr>
        <w:tab/>
      </w:r>
      <w:r w:rsidR="00CA0F93">
        <w:rPr>
          <w:rFonts w:eastAsiaTheme="minorEastAsia"/>
        </w:rPr>
        <w:tab/>
      </w:r>
      <w:r w:rsidR="00CA0F93">
        <w:t>(1)</w:t>
      </w:r>
    </w:p>
    <w:p w14:paraId="3AFA4FA5" w14:textId="51F5B23B" w:rsidR="00896315" w:rsidRDefault="00896315" w:rsidP="00896315">
      <w:pPr>
        <w:pStyle w:val="ENDE26Figure"/>
      </w:pPr>
      <w:r>
        <w:rPr>
          <w:noProof/>
        </w:rPr>
        <w:lastRenderedPageBreak/>
        <w:drawing>
          <wp:inline distT="0" distB="0" distL="0" distR="0" wp14:anchorId="283625B2" wp14:editId="5F4EECF5">
            <wp:extent cx="1798320" cy="23717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320" cy="2371725"/>
                    </a:xfrm>
                    <a:prstGeom prst="rect">
                      <a:avLst/>
                    </a:prstGeom>
                    <a:noFill/>
                  </pic:spPr>
                </pic:pic>
              </a:graphicData>
            </a:graphic>
          </wp:inline>
        </w:drawing>
      </w:r>
    </w:p>
    <w:p w14:paraId="59C35AF9" w14:textId="323ABBCC" w:rsidR="00896315" w:rsidRDefault="00FF5050" w:rsidP="00896315">
      <w:pPr>
        <w:pStyle w:val="ENDE26Figurecaption"/>
        <w:rPr>
          <w:lang w:val="en-GB"/>
        </w:rPr>
      </w:pPr>
      <w:r w:rsidRPr="00FF5050">
        <w:rPr>
          <w:b/>
          <w:bCs/>
          <w:lang w:val="en-GB"/>
        </w:rPr>
        <w:t>Figure 1.</w:t>
      </w:r>
      <w:r w:rsidRPr="00FF5050">
        <w:rPr>
          <w:lang w:val="en-GB"/>
        </w:rPr>
        <w:t xml:space="preserve"> A figure and caption c</w:t>
      </w:r>
      <w:r>
        <w:rPr>
          <w:lang w:val="en-GB"/>
        </w:rPr>
        <w:t>enter justified.</w:t>
      </w:r>
    </w:p>
    <w:tbl>
      <w:tblPr>
        <w:tblW w:w="7031" w:type="dxa"/>
        <w:jc w:val="center"/>
        <w:tblLook w:val="00A0" w:firstRow="1" w:lastRow="0" w:firstColumn="1" w:lastColumn="0" w:noHBand="0" w:noVBand="0"/>
      </w:tblPr>
      <w:tblGrid>
        <w:gridCol w:w="2340"/>
        <w:gridCol w:w="2339"/>
        <w:gridCol w:w="2352"/>
      </w:tblGrid>
      <w:tr w:rsidR="00FF5050" w:rsidRPr="00FF5050" w14:paraId="53DDB4AB" w14:textId="77777777" w:rsidTr="00DF0EF6">
        <w:trPr>
          <w:jc w:val="center"/>
        </w:trPr>
        <w:tc>
          <w:tcPr>
            <w:tcW w:w="2340" w:type="dxa"/>
            <w:tcBorders>
              <w:top w:val="single" w:sz="4" w:space="0" w:color="auto"/>
              <w:bottom w:val="single" w:sz="4" w:space="0" w:color="auto"/>
            </w:tcBorders>
          </w:tcPr>
          <w:p w14:paraId="4B45EFEF" w14:textId="77777777" w:rsidR="00FF5050" w:rsidRPr="00FF5050" w:rsidRDefault="00FF5050" w:rsidP="00FF5050">
            <w:pPr>
              <w:pStyle w:val="ENDE26Table"/>
            </w:pPr>
            <w:r w:rsidRPr="00FF5050">
              <w:t>Column1</w:t>
            </w:r>
          </w:p>
        </w:tc>
        <w:tc>
          <w:tcPr>
            <w:tcW w:w="2339" w:type="dxa"/>
            <w:tcBorders>
              <w:top w:val="single" w:sz="4" w:space="0" w:color="auto"/>
              <w:bottom w:val="single" w:sz="4" w:space="0" w:color="auto"/>
            </w:tcBorders>
          </w:tcPr>
          <w:p w14:paraId="5512865B" w14:textId="77777777" w:rsidR="00FF5050" w:rsidRPr="00FF5050" w:rsidRDefault="00FF5050" w:rsidP="00FF5050">
            <w:pPr>
              <w:pStyle w:val="ENDE26Table"/>
            </w:pPr>
            <w:r w:rsidRPr="00FF5050">
              <w:t>Column2</w:t>
            </w:r>
          </w:p>
        </w:tc>
        <w:tc>
          <w:tcPr>
            <w:tcW w:w="2352" w:type="dxa"/>
            <w:tcBorders>
              <w:top w:val="single" w:sz="4" w:space="0" w:color="auto"/>
              <w:bottom w:val="single" w:sz="4" w:space="0" w:color="auto"/>
            </w:tcBorders>
          </w:tcPr>
          <w:p w14:paraId="42B9256E" w14:textId="77777777" w:rsidR="00FF5050" w:rsidRPr="00FF5050" w:rsidRDefault="00FF5050" w:rsidP="00FF5050">
            <w:pPr>
              <w:pStyle w:val="ENDE26Table"/>
            </w:pPr>
            <w:r w:rsidRPr="00FF5050">
              <w:t>Column3</w:t>
            </w:r>
          </w:p>
        </w:tc>
      </w:tr>
      <w:tr w:rsidR="00FF5050" w:rsidRPr="00FF5050" w14:paraId="07775FA4" w14:textId="77777777" w:rsidTr="00DF0EF6">
        <w:trPr>
          <w:jc w:val="center"/>
        </w:trPr>
        <w:tc>
          <w:tcPr>
            <w:tcW w:w="2340" w:type="dxa"/>
            <w:tcBorders>
              <w:top w:val="single" w:sz="4" w:space="0" w:color="auto"/>
            </w:tcBorders>
          </w:tcPr>
          <w:p w14:paraId="7B68D770" w14:textId="77777777" w:rsidR="00FF5050" w:rsidRPr="00FF5050" w:rsidRDefault="00FF5050" w:rsidP="00FF5050">
            <w:pPr>
              <w:pStyle w:val="ENDE26Table"/>
              <w:rPr>
                <w:b w:val="0"/>
                <w:bCs/>
              </w:rPr>
            </w:pPr>
            <w:r w:rsidRPr="00FF5050">
              <w:rPr>
                <w:b w:val="0"/>
                <w:bCs/>
              </w:rPr>
              <w:t>–10.2</w:t>
            </w:r>
          </w:p>
        </w:tc>
        <w:tc>
          <w:tcPr>
            <w:tcW w:w="2339" w:type="dxa"/>
            <w:tcBorders>
              <w:top w:val="single" w:sz="4" w:space="0" w:color="auto"/>
            </w:tcBorders>
          </w:tcPr>
          <w:p w14:paraId="001DE34B" w14:textId="77777777" w:rsidR="00FF5050" w:rsidRPr="00FF5050" w:rsidRDefault="00FF5050" w:rsidP="00FF5050">
            <w:pPr>
              <w:pStyle w:val="ENDE26Table"/>
              <w:rPr>
                <w:b w:val="0"/>
                <w:bCs/>
              </w:rPr>
            </w:pPr>
            <w:r w:rsidRPr="00FF5050">
              <w:rPr>
                <w:b w:val="0"/>
                <w:bCs/>
              </w:rPr>
              <w:t>10.2</w:t>
            </w:r>
          </w:p>
        </w:tc>
        <w:tc>
          <w:tcPr>
            <w:tcW w:w="2352" w:type="dxa"/>
            <w:tcBorders>
              <w:top w:val="single" w:sz="4" w:space="0" w:color="auto"/>
            </w:tcBorders>
          </w:tcPr>
          <w:p w14:paraId="15A5749D" w14:textId="77777777" w:rsidR="00FF5050" w:rsidRPr="00FF5050" w:rsidRDefault="00FF5050" w:rsidP="00FF5050">
            <w:pPr>
              <w:pStyle w:val="ENDE26Table"/>
              <w:rPr>
                <w:b w:val="0"/>
                <w:bCs/>
              </w:rPr>
            </w:pPr>
            <w:r w:rsidRPr="00FF5050">
              <w:rPr>
                <w:b w:val="0"/>
                <w:bCs/>
              </w:rPr>
              <w:t>10.2</w:t>
            </w:r>
          </w:p>
        </w:tc>
      </w:tr>
      <w:tr w:rsidR="00FF5050" w:rsidRPr="00FF5050" w14:paraId="5584DE15" w14:textId="77777777" w:rsidTr="00DF0EF6">
        <w:trPr>
          <w:jc w:val="center"/>
        </w:trPr>
        <w:tc>
          <w:tcPr>
            <w:tcW w:w="2340" w:type="dxa"/>
          </w:tcPr>
          <w:p w14:paraId="099CC5B1" w14:textId="77777777" w:rsidR="00FF5050" w:rsidRPr="00FF5050" w:rsidRDefault="00FF5050" w:rsidP="00FF5050">
            <w:pPr>
              <w:pStyle w:val="ENDE26Table"/>
              <w:rPr>
                <w:b w:val="0"/>
                <w:bCs/>
              </w:rPr>
            </w:pPr>
            <w:r w:rsidRPr="00FF5050">
              <w:rPr>
                <w:b w:val="0"/>
                <w:bCs/>
              </w:rPr>
              <w:t>5.36</w:t>
            </w:r>
          </w:p>
        </w:tc>
        <w:tc>
          <w:tcPr>
            <w:tcW w:w="2339" w:type="dxa"/>
          </w:tcPr>
          <w:p w14:paraId="5E58DC4A" w14:textId="77777777" w:rsidR="00FF5050" w:rsidRPr="00FF5050" w:rsidRDefault="00FF5050" w:rsidP="00FF5050">
            <w:pPr>
              <w:pStyle w:val="ENDE26Table"/>
              <w:rPr>
                <w:b w:val="0"/>
                <w:bCs/>
              </w:rPr>
            </w:pPr>
            <w:r w:rsidRPr="00FF5050">
              <w:rPr>
                <w:b w:val="0"/>
                <w:bCs/>
              </w:rPr>
              <w:t>6.32</w:t>
            </w:r>
          </w:p>
        </w:tc>
        <w:tc>
          <w:tcPr>
            <w:tcW w:w="2352" w:type="dxa"/>
          </w:tcPr>
          <w:p w14:paraId="1207EFBD" w14:textId="77777777" w:rsidR="00FF5050" w:rsidRPr="00FF5050" w:rsidRDefault="00FF5050" w:rsidP="00FF5050">
            <w:pPr>
              <w:pStyle w:val="ENDE26Table"/>
              <w:rPr>
                <w:b w:val="0"/>
                <w:bCs/>
              </w:rPr>
            </w:pPr>
            <w:r w:rsidRPr="00FF5050">
              <w:rPr>
                <w:b w:val="0"/>
                <w:bCs/>
              </w:rPr>
              <w:t>6.32</w:t>
            </w:r>
          </w:p>
        </w:tc>
      </w:tr>
      <w:tr w:rsidR="00FF5050" w:rsidRPr="00FF5050" w14:paraId="187E2FA1" w14:textId="77777777" w:rsidTr="00DF0EF6">
        <w:trPr>
          <w:jc w:val="center"/>
        </w:trPr>
        <w:tc>
          <w:tcPr>
            <w:tcW w:w="2340" w:type="dxa"/>
            <w:tcBorders>
              <w:bottom w:val="single" w:sz="4" w:space="0" w:color="auto"/>
            </w:tcBorders>
          </w:tcPr>
          <w:p w14:paraId="65489CD9" w14:textId="77777777" w:rsidR="00FF5050" w:rsidRPr="00FF5050" w:rsidRDefault="00FF5050" w:rsidP="00FF5050">
            <w:pPr>
              <w:pStyle w:val="ENDE26Table"/>
              <w:rPr>
                <w:b w:val="0"/>
                <w:bCs/>
              </w:rPr>
            </w:pPr>
            <w:r w:rsidRPr="00FF5050">
              <w:rPr>
                <w:b w:val="0"/>
                <w:bCs/>
              </w:rPr>
              <w:t>–5.7</w:t>
            </w:r>
          </w:p>
        </w:tc>
        <w:tc>
          <w:tcPr>
            <w:tcW w:w="2339" w:type="dxa"/>
            <w:tcBorders>
              <w:bottom w:val="single" w:sz="4" w:space="0" w:color="auto"/>
            </w:tcBorders>
          </w:tcPr>
          <w:p w14:paraId="2DB62D24" w14:textId="77777777" w:rsidR="00FF5050" w:rsidRPr="00FF5050" w:rsidRDefault="00FF5050" w:rsidP="00FF5050">
            <w:pPr>
              <w:pStyle w:val="ENDE26Table"/>
              <w:rPr>
                <w:b w:val="0"/>
                <w:bCs/>
              </w:rPr>
            </w:pPr>
            <w:r w:rsidRPr="00FF5050">
              <w:rPr>
                <w:b w:val="0"/>
                <w:bCs/>
              </w:rPr>
              <w:t>5.7</w:t>
            </w:r>
          </w:p>
        </w:tc>
        <w:tc>
          <w:tcPr>
            <w:tcW w:w="2352" w:type="dxa"/>
            <w:tcBorders>
              <w:bottom w:val="single" w:sz="4" w:space="0" w:color="auto"/>
            </w:tcBorders>
          </w:tcPr>
          <w:p w14:paraId="40EE7EAB" w14:textId="77777777" w:rsidR="00FF5050" w:rsidRPr="00FF5050" w:rsidRDefault="00FF5050" w:rsidP="00FF5050">
            <w:pPr>
              <w:pStyle w:val="ENDE26Table"/>
              <w:rPr>
                <w:b w:val="0"/>
                <w:bCs/>
              </w:rPr>
            </w:pPr>
            <w:r w:rsidRPr="00FF5050">
              <w:rPr>
                <w:b w:val="0"/>
                <w:bCs/>
              </w:rPr>
              <w:t>0.326</w:t>
            </w:r>
          </w:p>
        </w:tc>
      </w:tr>
    </w:tbl>
    <w:p w14:paraId="124347D8" w14:textId="4A0BEB60" w:rsidR="00FF5050" w:rsidRDefault="00FF5050" w:rsidP="00FF5050">
      <w:pPr>
        <w:pStyle w:val="ENDE26Tabletitle"/>
      </w:pPr>
      <w:r w:rsidRPr="00FF5050">
        <w:rPr>
          <w:b/>
          <w:bCs/>
        </w:rPr>
        <w:t>Table 1.</w:t>
      </w:r>
      <w:r>
        <w:t xml:space="preserve"> A table and caption center justified.</w:t>
      </w:r>
    </w:p>
    <w:p w14:paraId="4651A681" w14:textId="260337F5" w:rsidR="00FF5050" w:rsidRDefault="00FF5050" w:rsidP="00FF5050">
      <w:pPr>
        <w:rPr>
          <w:lang w:val="en-GB"/>
        </w:rPr>
      </w:pPr>
      <w:r w:rsidRPr="00FF5050">
        <w:rPr>
          <w:lang w:val="en-GB"/>
        </w:rPr>
        <w:t>As the abstracts will be distributed to attendees in electric form, the figures can be prepared in color. References and acknowledgments must be at the end of the abstract, and do not count against the two-page limit.</w:t>
      </w:r>
    </w:p>
    <w:p w14:paraId="6486785C" w14:textId="29779620" w:rsidR="00FF5050" w:rsidRDefault="00FF5050" w:rsidP="00FF5050">
      <w:pPr>
        <w:pStyle w:val="ENDE26ParagraphTitle"/>
      </w:pPr>
      <w:r w:rsidRPr="00FF5050">
        <w:t>Acknowledgements</w:t>
      </w:r>
    </w:p>
    <w:p w14:paraId="6BC718D2" w14:textId="03B2A62D" w:rsidR="00FF5050" w:rsidRDefault="00FF5050" w:rsidP="00FF5050">
      <w:pPr>
        <w:pStyle w:val="ENDE26Acknowledgement"/>
      </w:pPr>
      <w:r w:rsidRPr="00FF5050">
        <w:t>Any acknowledgements to third-party contributions, funding, etc., should be given here.</w:t>
      </w:r>
    </w:p>
    <w:p w14:paraId="779DD1BA" w14:textId="7B8511EC" w:rsidR="00FF5050" w:rsidRDefault="00FF5050" w:rsidP="00FF5050">
      <w:pPr>
        <w:pStyle w:val="ENDE26ParagraphTitle"/>
      </w:pPr>
      <w:r>
        <w:t>References</w:t>
      </w:r>
    </w:p>
    <w:p w14:paraId="7C152137" w14:textId="77777777" w:rsidR="00FF5050" w:rsidRDefault="00FF5050" w:rsidP="00FF5050">
      <w:pPr>
        <w:pStyle w:val="ENDE26References"/>
      </w:pPr>
      <w:r>
        <w:t xml:space="preserve">J. D. Jackson, </w:t>
      </w:r>
      <w:r w:rsidRPr="00FF5050">
        <w:rPr>
          <w:i/>
          <w:iCs/>
        </w:rPr>
        <w:t>Classical electrodynamics</w:t>
      </w:r>
      <w:r>
        <w:t>, 3rd Edition, John Willey &amp; Sons, Inc., New Jersey, 1998.</w:t>
      </w:r>
    </w:p>
    <w:p w14:paraId="51A8399C" w14:textId="77777777" w:rsidR="00FF5050" w:rsidRDefault="00FF5050" w:rsidP="00FF5050">
      <w:pPr>
        <w:pStyle w:val="ENDE26References"/>
      </w:pPr>
      <w:r>
        <w:t xml:space="preserve">Dodd C. V. Deeds and W. E. Analytical solutions to eddy-current probe-coil problems, </w:t>
      </w:r>
      <w:r w:rsidRPr="00FF5050">
        <w:rPr>
          <w:i/>
          <w:iCs/>
        </w:rPr>
        <w:t>J Appl Phys</w:t>
      </w:r>
      <w:r>
        <w:t xml:space="preserve"> 1968; 39(6): 2829-2838.</w:t>
      </w:r>
    </w:p>
    <w:p w14:paraId="3B0D955A" w14:textId="4CE149E5" w:rsidR="00FF5050" w:rsidRPr="00FF5050" w:rsidRDefault="00FF5050" w:rsidP="00FF5050">
      <w:pPr>
        <w:pStyle w:val="ENDE26References"/>
      </w:pPr>
      <w:r>
        <w:t xml:space="preserve">Auld, B.A. John Moulder and the Evolution of Model-Based Quantitative Eddy Current NDE. In: Thompson, D.O., Chimenti, D.E. (eds). </w:t>
      </w:r>
      <w:r w:rsidRPr="00FF5050">
        <w:rPr>
          <w:i/>
          <w:iCs/>
        </w:rPr>
        <w:t>Review of Progress in Quantitative Nondestructive Evaluation (QNDE 1999)</w:t>
      </w:r>
      <w:r>
        <w:t>, vol. 18 A. Springer US; 1999, pp. 441-448.</w:t>
      </w:r>
    </w:p>
    <w:sectPr w:rsidR="00FF5050" w:rsidRPr="00FF5050">
      <w:footerReference w:type="default" r:id="rId10"/>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A9E01" w14:textId="77777777" w:rsidR="0090493C" w:rsidRDefault="0090493C" w:rsidP="00CA0F93">
      <w:pPr>
        <w:spacing w:before="0"/>
      </w:pPr>
      <w:r>
        <w:separator/>
      </w:r>
    </w:p>
  </w:endnote>
  <w:endnote w:type="continuationSeparator" w:id="0">
    <w:p w14:paraId="753119AD" w14:textId="77777777" w:rsidR="0090493C" w:rsidRDefault="0090493C" w:rsidP="00CA0F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7D71" w14:textId="7717C7A9" w:rsidR="00CA0F93" w:rsidRDefault="00CA0F93">
    <w:pPr>
      <w:pStyle w:val="Pieddepage"/>
    </w:pPr>
    <w:r w:rsidRPr="00CA0F93">
      <w:rPr>
        <w:rFonts w:eastAsia="Batang" w:cs="Times New Roman"/>
        <w:sz w:val="21"/>
        <w:szCs w:val="21"/>
        <w:lang w:eastAsia="ko-KR"/>
      </w:rPr>
      <w:t>ENDE26, Paris-Saclay, France, June 3-5,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9D09" w14:textId="77777777" w:rsidR="0090493C" w:rsidRDefault="0090493C" w:rsidP="00CA0F93">
      <w:pPr>
        <w:spacing w:before="0"/>
      </w:pPr>
      <w:r>
        <w:separator/>
      </w:r>
    </w:p>
  </w:footnote>
  <w:footnote w:type="continuationSeparator" w:id="0">
    <w:p w14:paraId="59C9164F" w14:textId="77777777" w:rsidR="0090493C" w:rsidRDefault="0090493C" w:rsidP="00CA0F93">
      <w:pPr>
        <w:spacing w:before="0"/>
      </w:pPr>
      <w:r>
        <w:continuationSeparator/>
      </w:r>
    </w:p>
  </w:footnote>
  <w:footnote w:id="1">
    <w:p w14:paraId="13E00BC0" w14:textId="7E00CDD7" w:rsidR="00720D52" w:rsidRPr="00720D52" w:rsidRDefault="00720D52">
      <w:pPr>
        <w:pStyle w:val="Notedebasdepage"/>
        <w:rPr>
          <w:lang w:val="en-GB"/>
        </w:rPr>
      </w:pPr>
      <w:r>
        <w:rPr>
          <w:rStyle w:val="Appelnotedebasdep"/>
        </w:rPr>
        <w:footnoteRef/>
      </w:r>
      <w:r w:rsidRPr="00720D52">
        <w:rPr>
          <w:lang w:val="en-GB"/>
        </w:rPr>
        <w:t xml:space="preserve"> </w:t>
      </w:r>
      <w:r w:rsidRPr="00720D52">
        <w:rPr>
          <w:sz w:val="18"/>
          <w:szCs w:val="18"/>
          <w:lang w:val="en-GB"/>
        </w:rPr>
        <w:t xml:space="preserve">Corresponding author. </w:t>
      </w:r>
      <w:r w:rsidRPr="00720D52">
        <w:rPr>
          <w:i/>
          <w:iCs/>
          <w:sz w:val="18"/>
          <w:szCs w:val="18"/>
          <w:lang w:val="en-GB"/>
        </w:rPr>
        <w:t>E-mail address</w:t>
      </w:r>
      <w:r w:rsidRPr="00720D52">
        <w:rPr>
          <w:sz w:val="18"/>
          <w:szCs w:val="18"/>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63B19"/>
    <w:multiLevelType w:val="hybridMultilevel"/>
    <w:tmpl w:val="EF4CD518"/>
    <w:lvl w:ilvl="0" w:tplc="AA3EB6D2">
      <w:start w:val="1"/>
      <w:numFmt w:val="decimal"/>
      <w:pStyle w:val="ENDE26Referenc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7D"/>
    <w:rsid w:val="0042747D"/>
    <w:rsid w:val="004D2D4A"/>
    <w:rsid w:val="00720D52"/>
    <w:rsid w:val="00896315"/>
    <w:rsid w:val="0090493C"/>
    <w:rsid w:val="0090771B"/>
    <w:rsid w:val="00CA0F93"/>
    <w:rsid w:val="00D53AFA"/>
    <w:rsid w:val="00E81265"/>
    <w:rsid w:val="00F935FB"/>
    <w:rsid w:val="00FF50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9374"/>
  <w15:chartTrackingRefBased/>
  <w15:docId w15:val="{88725452-3639-4CD9-95DD-95B3F232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47D"/>
    <w:pPr>
      <w:spacing w:before="120" w:after="0" w:line="240" w:lineRule="auto"/>
      <w:ind w:firstLine="284"/>
      <w:jc w:val="both"/>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2747D"/>
    <w:pPr>
      <w:spacing w:before="0" w:after="360"/>
      <w:ind w:firstLine="0"/>
      <w:contextualSpacing/>
      <w:jc w:val="center"/>
    </w:pPr>
    <w:rPr>
      <w:rFonts w:eastAsiaTheme="majorEastAsia" w:cstheme="majorBidi"/>
      <w:b/>
      <w:spacing w:val="-10"/>
      <w:kern w:val="28"/>
      <w:sz w:val="28"/>
      <w:szCs w:val="56"/>
    </w:rPr>
  </w:style>
  <w:style w:type="character" w:customStyle="1" w:styleId="TitreCar">
    <w:name w:val="Titre Car"/>
    <w:basedOn w:val="Policepardfaut"/>
    <w:link w:val="Titre"/>
    <w:uiPriority w:val="10"/>
    <w:rsid w:val="0042747D"/>
    <w:rPr>
      <w:rFonts w:ascii="Times New Roman" w:eastAsiaTheme="majorEastAsia" w:hAnsi="Times New Roman" w:cstheme="majorBidi"/>
      <w:b/>
      <w:spacing w:val="-10"/>
      <w:kern w:val="28"/>
      <w:sz w:val="28"/>
      <w:szCs w:val="56"/>
    </w:rPr>
  </w:style>
  <w:style w:type="paragraph" w:customStyle="1" w:styleId="ENDE26Authors">
    <w:name w:val="ENDE26_Authors"/>
    <w:basedOn w:val="Normal"/>
    <w:qFormat/>
    <w:rsid w:val="0042747D"/>
    <w:pPr>
      <w:spacing w:after="240"/>
      <w:ind w:firstLine="0"/>
      <w:jc w:val="center"/>
    </w:pPr>
    <w:rPr>
      <w:lang w:val="en-GB"/>
    </w:rPr>
  </w:style>
  <w:style w:type="paragraph" w:customStyle="1" w:styleId="ENDE26Affiliation">
    <w:name w:val="ENDE26_Affiliation"/>
    <w:basedOn w:val="ENDE26Authors"/>
    <w:qFormat/>
    <w:rsid w:val="0042747D"/>
    <w:pPr>
      <w:spacing w:before="0" w:after="0"/>
    </w:pPr>
    <w:rPr>
      <w:sz w:val="20"/>
    </w:rPr>
  </w:style>
  <w:style w:type="paragraph" w:customStyle="1" w:styleId="ENDE26ParagraphTitle">
    <w:name w:val="ENDE26_Paragraph Title"/>
    <w:basedOn w:val="ENDE26Affiliation"/>
    <w:qFormat/>
    <w:rsid w:val="0042747D"/>
    <w:pPr>
      <w:spacing w:before="240" w:after="240"/>
      <w:jc w:val="both"/>
    </w:pPr>
    <w:rPr>
      <w:b/>
      <w:sz w:val="22"/>
    </w:rPr>
  </w:style>
  <w:style w:type="character" w:styleId="Lienhypertexte">
    <w:name w:val="Hyperlink"/>
    <w:basedOn w:val="Policepardfaut"/>
    <w:uiPriority w:val="99"/>
    <w:unhideWhenUsed/>
    <w:rsid w:val="0042747D"/>
    <w:rPr>
      <w:color w:val="0563C1" w:themeColor="hyperlink"/>
      <w:u w:val="single"/>
    </w:rPr>
  </w:style>
  <w:style w:type="character" w:styleId="Mentionnonrsolue">
    <w:name w:val="Unresolved Mention"/>
    <w:basedOn w:val="Policepardfaut"/>
    <w:uiPriority w:val="99"/>
    <w:semiHidden/>
    <w:unhideWhenUsed/>
    <w:rsid w:val="0042747D"/>
    <w:rPr>
      <w:color w:val="605E5C"/>
      <w:shd w:val="clear" w:color="auto" w:fill="E1DFDD"/>
    </w:rPr>
  </w:style>
  <w:style w:type="character" w:styleId="Lienhypertextesuivivisit">
    <w:name w:val="FollowedHyperlink"/>
    <w:basedOn w:val="Policepardfaut"/>
    <w:uiPriority w:val="99"/>
    <w:semiHidden/>
    <w:unhideWhenUsed/>
    <w:rsid w:val="0042747D"/>
    <w:rPr>
      <w:color w:val="954F72" w:themeColor="followedHyperlink"/>
      <w:u w:val="single"/>
    </w:rPr>
  </w:style>
  <w:style w:type="paragraph" w:customStyle="1" w:styleId="ENDE26Keywords">
    <w:name w:val="ENDE26_Keywords"/>
    <w:basedOn w:val="Normal"/>
    <w:qFormat/>
    <w:rsid w:val="00F935FB"/>
    <w:pPr>
      <w:spacing w:before="240" w:after="240"/>
      <w:ind w:firstLine="0"/>
    </w:pPr>
    <w:rPr>
      <w:b/>
      <w:lang w:val="en-GB"/>
    </w:rPr>
  </w:style>
  <w:style w:type="paragraph" w:customStyle="1" w:styleId="ENDE26Equation">
    <w:name w:val="ENDE26_Equation"/>
    <w:basedOn w:val="Normal"/>
    <w:qFormat/>
    <w:rsid w:val="00CA0F93"/>
    <w:pPr>
      <w:spacing w:before="240" w:after="240"/>
      <w:ind w:firstLine="0"/>
      <w:jc w:val="right"/>
    </w:pPr>
    <w:rPr>
      <w:sz w:val="20"/>
      <w:lang w:val="en-GB"/>
    </w:rPr>
  </w:style>
  <w:style w:type="character" w:styleId="Textedelespacerserv">
    <w:name w:val="Placeholder Text"/>
    <w:basedOn w:val="Policepardfaut"/>
    <w:uiPriority w:val="99"/>
    <w:semiHidden/>
    <w:rsid w:val="00CA0F93"/>
    <w:rPr>
      <w:color w:val="808080"/>
    </w:rPr>
  </w:style>
  <w:style w:type="paragraph" w:styleId="En-tte">
    <w:name w:val="header"/>
    <w:basedOn w:val="Normal"/>
    <w:link w:val="En-tteCar"/>
    <w:uiPriority w:val="99"/>
    <w:unhideWhenUsed/>
    <w:rsid w:val="00CA0F93"/>
    <w:pPr>
      <w:tabs>
        <w:tab w:val="center" w:pos="4536"/>
        <w:tab w:val="right" w:pos="9072"/>
      </w:tabs>
      <w:spacing w:before="0"/>
    </w:pPr>
  </w:style>
  <w:style w:type="character" w:customStyle="1" w:styleId="En-tteCar">
    <w:name w:val="En-tête Car"/>
    <w:basedOn w:val="Policepardfaut"/>
    <w:link w:val="En-tte"/>
    <w:uiPriority w:val="99"/>
    <w:rsid w:val="00CA0F93"/>
    <w:rPr>
      <w:rFonts w:ascii="Times New Roman" w:hAnsi="Times New Roman"/>
    </w:rPr>
  </w:style>
  <w:style w:type="paragraph" w:styleId="Pieddepage">
    <w:name w:val="footer"/>
    <w:basedOn w:val="Normal"/>
    <w:link w:val="PieddepageCar"/>
    <w:uiPriority w:val="99"/>
    <w:unhideWhenUsed/>
    <w:rsid w:val="00CA0F93"/>
    <w:pPr>
      <w:tabs>
        <w:tab w:val="center" w:pos="4536"/>
        <w:tab w:val="right" w:pos="9072"/>
      </w:tabs>
      <w:spacing w:before="0"/>
    </w:pPr>
  </w:style>
  <w:style w:type="character" w:customStyle="1" w:styleId="PieddepageCar">
    <w:name w:val="Pied de page Car"/>
    <w:basedOn w:val="Policepardfaut"/>
    <w:link w:val="Pieddepage"/>
    <w:uiPriority w:val="99"/>
    <w:rsid w:val="00CA0F93"/>
    <w:rPr>
      <w:rFonts w:ascii="Times New Roman" w:hAnsi="Times New Roman"/>
    </w:rPr>
  </w:style>
  <w:style w:type="paragraph" w:styleId="Notedebasdepage">
    <w:name w:val="footnote text"/>
    <w:basedOn w:val="Normal"/>
    <w:link w:val="NotedebasdepageCar"/>
    <w:uiPriority w:val="99"/>
    <w:semiHidden/>
    <w:unhideWhenUsed/>
    <w:rsid w:val="00720D52"/>
    <w:pPr>
      <w:spacing w:before="0"/>
    </w:pPr>
    <w:rPr>
      <w:sz w:val="20"/>
      <w:szCs w:val="20"/>
    </w:rPr>
  </w:style>
  <w:style w:type="character" w:customStyle="1" w:styleId="NotedebasdepageCar">
    <w:name w:val="Note de bas de page Car"/>
    <w:basedOn w:val="Policepardfaut"/>
    <w:link w:val="Notedebasdepage"/>
    <w:uiPriority w:val="99"/>
    <w:semiHidden/>
    <w:rsid w:val="00720D52"/>
    <w:rPr>
      <w:rFonts w:ascii="Times New Roman" w:hAnsi="Times New Roman"/>
      <w:sz w:val="20"/>
      <w:szCs w:val="20"/>
    </w:rPr>
  </w:style>
  <w:style w:type="character" w:styleId="Appelnotedebasdep">
    <w:name w:val="footnote reference"/>
    <w:basedOn w:val="Policepardfaut"/>
    <w:uiPriority w:val="99"/>
    <w:semiHidden/>
    <w:unhideWhenUsed/>
    <w:rsid w:val="00720D52"/>
    <w:rPr>
      <w:vertAlign w:val="superscript"/>
    </w:rPr>
  </w:style>
  <w:style w:type="paragraph" w:customStyle="1" w:styleId="ENDE26Figure">
    <w:name w:val="ENDE26_Figure"/>
    <w:basedOn w:val="Normal"/>
    <w:qFormat/>
    <w:rsid w:val="00FF5050"/>
    <w:pPr>
      <w:ind w:firstLine="0"/>
      <w:jc w:val="center"/>
    </w:pPr>
  </w:style>
  <w:style w:type="paragraph" w:customStyle="1" w:styleId="ENDE26Figurecaption">
    <w:name w:val="ENDE26_Figure caption"/>
    <w:basedOn w:val="ENDE26Figure"/>
    <w:qFormat/>
    <w:rsid w:val="00FF5050"/>
    <w:pPr>
      <w:spacing w:before="0" w:after="240"/>
    </w:pPr>
    <w:rPr>
      <w:sz w:val="20"/>
    </w:rPr>
  </w:style>
  <w:style w:type="paragraph" w:customStyle="1" w:styleId="ENDE26Table">
    <w:name w:val="ENDE26_Table"/>
    <w:basedOn w:val="Normal"/>
    <w:qFormat/>
    <w:rsid w:val="00FF5050"/>
    <w:pPr>
      <w:spacing w:before="0"/>
      <w:ind w:firstLine="0"/>
      <w:jc w:val="center"/>
    </w:pPr>
    <w:rPr>
      <w:rFonts w:eastAsia="Batang" w:cs="Times New Roman"/>
      <w:b/>
      <w:sz w:val="18"/>
      <w:szCs w:val="16"/>
      <w:lang w:val="en-GB" w:eastAsia="ko-KR"/>
    </w:rPr>
  </w:style>
  <w:style w:type="paragraph" w:customStyle="1" w:styleId="ENDE26Tabletitle">
    <w:name w:val="ENDE26_Table title"/>
    <w:basedOn w:val="Normal"/>
    <w:qFormat/>
    <w:rsid w:val="00FF5050"/>
    <w:pPr>
      <w:spacing w:before="0" w:after="240"/>
      <w:ind w:firstLine="0"/>
      <w:jc w:val="center"/>
    </w:pPr>
    <w:rPr>
      <w:sz w:val="20"/>
      <w:lang w:val="en-GB"/>
    </w:rPr>
  </w:style>
  <w:style w:type="paragraph" w:customStyle="1" w:styleId="ENDE26Acknowledgement">
    <w:name w:val="ENDE26_Acknowledgement"/>
    <w:basedOn w:val="Normal"/>
    <w:qFormat/>
    <w:rsid w:val="00FF5050"/>
    <w:pPr>
      <w:ind w:firstLine="0"/>
    </w:pPr>
    <w:rPr>
      <w:lang w:val="en-GB"/>
    </w:rPr>
  </w:style>
  <w:style w:type="paragraph" w:customStyle="1" w:styleId="ENDE26References">
    <w:name w:val="ENDE26_References"/>
    <w:basedOn w:val="ENDE26ParagraphTitle"/>
    <w:qFormat/>
    <w:rsid w:val="00FF5050"/>
    <w:pPr>
      <w:numPr>
        <w:numId w:val="1"/>
      </w:numPr>
      <w:spacing w:before="0" w:after="0"/>
    </w:pPr>
    <w:rPr>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de2026.sciencescon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F0F99-DB36-4B78-B7BB-E3EC8A20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447</Words>
  <Characters>2459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KYRGIAZOGLOU Athanasios</dc:creator>
  <cp:keywords/>
  <dc:description/>
  <cp:lastModifiedBy>KYRGIAZOGLOU Athanasios</cp:lastModifiedBy>
  <cp:revision>5</cp:revision>
  <dcterms:created xsi:type="dcterms:W3CDTF">2025-11-04T14:41:00Z</dcterms:created>
  <dcterms:modified xsi:type="dcterms:W3CDTF">2025-11-24T12:13:00Z</dcterms:modified>
</cp:coreProperties>
</file>